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Nome: ____________________________________________________________________________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-457199</wp:posOffset>
            </wp:positionH>
            <wp:positionV relativeFrom="paragraph">
              <wp:posOffset>0</wp:posOffset>
            </wp:positionV>
            <wp:extent cx="7722638" cy="1689100"/>
            <wp:effectExtent b="0" l="0" r="0" t="0"/>
            <wp:wrapSquare wrapText="bothSides" distB="0" distT="0" distL="114300" distR="11430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8803" l="0" r="0" t="7224"/>
                    <a:stretch>
                      <a:fillRect/>
                    </a:stretch>
                  </pic:blipFill>
                  <pic:spPr>
                    <a:xfrm>
                      <a:off x="0" y="0"/>
                      <a:ext cx="7722638" cy="168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CPF:_____________________ E-mail:___________________________________________________</w:t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Telefone:______________________________________________</w:t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Data: ____/____/__________ Evento: __________________________________________________</w:t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Título da Proposta:</w:t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Abrangência (apenas 1 resposta válida):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Municipal 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Regional 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Estadual 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Nacional </w:t>
      </w:r>
    </w:p>
    <w:p w:rsidR="00000000" w:rsidDel="00000000" w:rsidP="00000000" w:rsidRDefault="00000000" w:rsidRPr="00000000" w14:paraId="0000000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Selecione o eixo temático da sua proposta: (apenas 1 resposta válida)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a) Acessibilidade e Mobilidade urbana; 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b) Saneamento básico (tratamento e distribuição de água, coleta e tratamento de esgoto, drenagem urbana e gestão de resíduos sólidos); 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c) Engenharia Pública (Reurbs, Moradia, Tecnologia Social); 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d) Qualidade ambiental (Áreas Verdes Urbanas; Emissões de CO por Habitante; Focos de Calor; Índice de Vulnerabilidade Climática dos Municípios; Supressão da Vegetação Primária e Secundária); 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e) Desenvolvimento energético para os municípios (energia acessível e limpa). </w:t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Indicador(es) impactado(s) pela proposta? </w:t>
      </w:r>
      <w:r w:rsidDel="00000000" w:rsidR="00000000" w:rsidRPr="00000000">
        <w:rPr>
          <w:rtl w:val="0"/>
        </w:rPr>
        <w:t xml:space="preserve">(o eixo temático escolhido acima deve se relacionar com o respectivo indicador). Selecione apenas indicadores relacionados ao eixo temático escolhido acima.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a) Acessibilidade e Mobilidade Urbana: 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Necessidades Humanas básicas (Mortes por Acidentes de Trânsito) (Fonte: IPS Brasil)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Indicadores de acidentes do trabalho, segundo a Classificação Nacional de Atividades Econômicas (CNAE): Incidência de Doenças Ocupacionais; Incidência de Acidentes Típicos; Incidência de Incapacidade Temporária; Taxa de Mortalidade; Taxa de Letalidade; Acidentalidade para a faixa 16 a 34 anos. (Fonte: Ministério da Previdência Social)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Cidades e Comunidades Sustentáveis (Tornar as cidades e os assentamentos humanos inclusivos, seguros, resilientes e sustentáveis) (Fonte: Agenda 2030)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Outros: (Informe o indicador e a fonte) ________________________________________________________________</w:t>
      </w:r>
    </w:p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b) Saneamento Básico: 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Necessidades humanas básicas (Abastecimento de Água via rede de Distribuição; Esgotamento Sanitário Adequado; Índice de Abastecimento de Água; Índice de Perdas de Água na Distribuição) (Fonte: IPS Brasil)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Indicadores de acidentes do trabalho, segundo a Classificação Nacional de Atividades Econômicas (CNAE): Incidência de Doenças Ocupacionais; Incidência de Acidentes Típicos; Incidência de Incapacidade Temporária; Taxa de Mortalidade; Taxa de Letalidade; Acidentalidade para a faixa 16 a 34 anos. (Fonte: Ministério da Previdência Social)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Abastecimento de Água; Esgotamento Sanitário; Manejo dos Resíduos Sólidos Urbanos; Drenagem e Manejo das Águas Pluviais Urbanas. (Fonte: Sistema Nacional de Informações sobre Saneamento)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Cidades e Comunidades Sustentáveis (Tornar as cidades e os assentamentos humanos inclusivos, seguros, resilientes e sustentáveis) (Fonte: Agenda 2030)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Água Potável e Saneamento (Assegurar a disponibilidade e gestão sustentável da água e saneamento para todos) (Fonte: Agenda 2030) 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Outros: (Informe o indicador e a fonte) ________________________________________________________________</w:t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c) Engenharia Pública (Reurbs, Moradia, Tecnologia Social): 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Domicílios com coleta de Resíduos Adequada; Domicílios com Iluminação Elétrica Adequada; Domicílios com Paredes Adequadas; Domicílios com Piso Adequado. (Fonte: IPS Brasil)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Indicadores de acidentes do trabalho, segundo a Classificação Nacional de Atividades Econômicas (CNAE): Incidência de Doenças Ocupacionais; Incidência de Acidentes Típicos; Incidência de Incapacidade Temporária; Taxa de Mortalidade; Taxa de Letalidade; Acidentalidade para a faixa 16 a 34 anos. (Fonte: Ministério da Previdência Social)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Déficit habitacional, número de domicílios em aglomerados subnormais. (Fonte: IBGE)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Cidades e Comunidades Sustentáveis (Tornar as cidades e os assentamentos humanos inclusivos, seguros, resilientes e sustentáveis) (Fonte: Agenda 2030)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Outros: (Informe o indicador e a fonte) ________________________________________________________________</w:t>
      </w:r>
    </w:p>
    <w:p w:rsidR="00000000" w:rsidDel="00000000" w:rsidP="00000000" w:rsidRDefault="00000000" w:rsidRPr="00000000" w14:paraId="0000002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d) Qualidade Ambiental: 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Qualidade do Meio Ambiente: Áreas verdes urbanas; Emissões de CO² por habitante; Focos de Calor; Índice de Vulnerabilidade Climática dos Municípios (IVCM); Supressão da Vegetação Primária e Secundária. (Fonte: IPS Brasil)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Indicadores de acidentes do trabalho, segundo a Classificação Nacional de Atividades Econômicas (CNAE): Incidência de Doenças Ocupacionais; Incidência de Acidentes Típicos; Incidência de Incapacidade Temporária; Taxa de Mortalidade; Taxa de Letalidade; Acidentalidade para a faixa 16 a 34 anos. (Fonte: Ministério da Previdência Social)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Inventário Nacional de Emissões Atmosféricas; Índice de Qualidade do Ar. (Fonte: Ministério do Meio Ambiente)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Dados sobre focos de calor e desmatamento. (Fonte: Instituto Nacional de Pesquisas Espaciais)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Vida Terrestre (Proteger, recuperar e promover o uso sustentável dos ecossistemas terrestres, gerir de forma sustentável as florestas, combater a desertificação, deter e reverter a degradação da terra e deter a perda de biodiversidade). (Fonte: Agenda 2030)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Ação contra a mudança global do clima (Tomar medidas urgentes para combater a mudança climática e seus impactos) (Fonte: Agenda 2030)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Vida na Água (Conservação e uso sustentável dos oceanos, dos mares e dos recursos marinhos para o desenvolvimento sustentável) (Fonte: Agenda 2030)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Outros: (Informe o indicador e a fonte) ________________________________________________________________</w:t>
      </w:r>
    </w:p>
    <w:p w:rsidR="00000000" w:rsidDel="00000000" w:rsidP="00000000" w:rsidRDefault="00000000" w:rsidRPr="00000000" w14:paraId="0000002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e) Desenvolvimento Energético: 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Fundamentos do Bem-Estar: Cobertura de Internet Móvel; Densidade de Internet de banda larga fixa; Densidade de telefonia móvel; Qualidade de Internet Móvel. Necessidades Humanas Básicas: Domicílios com Iluminação Elétrica Adequada. (Fonte: IPS Brasil)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Indicadores de acidentes do trabalho, segundo a Classificação Nacional de Atividades Econômicas (CNAE): Incidência de Doenças Ocupacionais; Incidência de Acidentes Típicos; Incidência de Incapacidade Temporária; Taxa de Mortalidade; Taxa de Letalidade; Acidentalidade para a faixa 16 a 34 anos. (Fonte: Ministério da Previdência Social) 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Energia Limpa e Acessível: Assegurar o acesso confiável, sustentável, moderno e a preço acessível à energia. Aumentar substancialmente a participação de energias renováveis na matriz energética global (Fonte: Agenda 2030)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Matriz energética brasileira, participação de fontes renováveis na geração de energia. (Fonte: Empresa de Pesquisa Energética)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Tarifa média de energia elétrica, investimentos em geração distribuída. (Fonte: Agência Nacional de Energia Elétrica)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Outros: (Informe o indicador e a fonte) ________________________________________________________________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b w:val="1"/>
          <w:rtl w:val="0"/>
        </w:rPr>
        <w:t xml:space="preserve">Situação existente: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441959</wp:posOffset>
                </wp:positionV>
                <wp:extent cx="6559550" cy="1930400"/>
                <wp:effectExtent b="12700" l="0" r="12700" t="0"/>
                <wp:wrapSquare wrapText="bothSides" distB="45720" distT="45720" distL="114300" distR="114300"/>
                <wp:docPr id="4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193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328" w:rsidDel="00000000" w:rsidP="00F02328" w:rsidRDefault="00F02328" w:rsidRPr="00F02328" w14:paraId="2FEBBA0F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441959</wp:posOffset>
                </wp:positionV>
                <wp:extent cx="6572250" cy="1943100"/>
                <wp:effectExtent b="0" l="0" r="0" t="0"/>
                <wp:wrapSquare wrapText="bothSides" distB="45720" distT="45720" distL="114300" distR="114300"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0" cy="1943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b w:val="1"/>
          <w:rtl w:val="0"/>
        </w:rPr>
        <w:t xml:space="preserve">Proposição: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363854</wp:posOffset>
                </wp:positionV>
                <wp:extent cx="6559550" cy="2635250"/>
                <wp:effectExtent b="12700" l="0" r="12700" t="0"/>
                <wp:wrapSquare wrapText="bothSides" distB="45720" distT="45720" distL="114300" distR="114300"/>
                <wp:docPr id="2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63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328" w:rsidDel="00000000" w:rsidP="00F02328" w:rsidRDefault="00F02328" w:rsidRPr="00F02328" w14:paraId="0BE9F2DD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363854</wp:posOffset>
                </wp:positionV>
                <wp:extent cx="6572250" cy="2647950"/>
                <wp:effectExtent b="0" l="0" r="0" t="0"/>
                <wp:wrapSquare wrapText="bothSides" distB="45720" distT="4572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0" cy="2647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b w:val="1"/>
          <w:rtl w:val="0"/>
        </w:rPr>
        <w:t xml:space="preserve">Fundamentação Legal: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259079</wp:posOffset>
                </wp:positionV>
                <wp:extent cx="6559550" cy="1404620"/>
                <wp:effectExtent b="10795" l="0" r="12700" t="0"/>
                <wp:wrapSquare wrapText="bothSides" distB="45720" distT="45720" distL="114300" distR="114300"/>
                <wp:docPr id="3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328" w:rsidDel="00000000" w:rsidP="00F02328" w:rsidRDefault="00F02328" w:rsidRPr="00F02328" w14:paraId="3EA7617E" w14:textId="77777777">
                            <w:pPr>
                              <w:rPr>
                                <w:i w:val="1"/>
                                <w:iCs w:val="1"/>
                                <w:sz w:val="18"/>
                                <w:szCs w:val="18"/>
                              </w:rPr>
                            </w:pPr>
                            <w:r w:rsidDel="00000000" w:rsidR="00000000" w:rsidRPr="00E13719">
                              <w:rPr>
                                <w:i w:val="1"/>
                                <w:iCs w:val="1"/>
                                <w:sz w:val="18"/>
                                <w:szCs w:val="18"/>
                              </w:rPr>
                              <w:t>A</w:t>
                            </w:r>
                            <w:r w:rsidDel="00000000" w:rsidR="00000000" w:rsidRPr="00F02328">
                              <w:rPr>
                                <w:i w:val="1"/>
                                <w:iCs w:val="1"/>
                                <w:sz w:val="18"/>
                                <w:szCs w:val="18"/>
                              </w:rPr>
                              <w:t>rt. 1º da Lei nº 5.194, de 1966: As profissões de engenheiro e engenheiro agrônomo são caracterizadas pelas realizações de interesse social e humano que importem na realização dos seguintes empreendimentos: a) aproveitamento e utilização de recursos naturais; b) meios de locomoção e comunicações; c) edificações, serviços e equipamentos urbanos, rurais e regionais, nos seus aspectos técnicos e artísticos; d) instalações e meios de acesso a costas, cursos e massas de água e extensões terrestres; e) desenvolvimento industrial e agropecuário.</w:t>
                            </w:r>
                          </w:p>
                          <w:p w:rsidR="00F02328" w:rsidDel="00000000" w:rsidP="00F02328" w:rsidRDefault="00F02328" w:rsidRPr="00E13719" w14:paraId="36540174" w14:textId="77777777">
                            <w:pPr>
                              <w:rPr>
                                <w:i w:val="1"/>
                                <w:iCs w:val="1"/>
                                <w:sz w:val="18"/>
                                <w:szCs w:val="18"/>
                              </w:rPr>
                            </w:pPr>
                            <w:r w:rsidDel="00000000" w:rsidR="00000000" w:rsidRPr="00E13719">
                              <w:rPr>
                                <w:i w:val="1"/>
                                <w:iCs w:val="1"/>
                                <w:sz w:val="18"/>
                                <w:szCs w:val="18"/>
                              </w:rPr>
                              <w:t xml:space="preserve">Art. 1º do Anexo II da Resolução nº 1.013, de 2005: O Congresso Nacional de Profissionais – CNP é um fórum organizado pelo Confea, apoiado pelos </w:t>
                            </w:r>
                            <w:proofErr w:type="spellStart"/>
                            <w:r w:rsidDel="00000000" w:rsidR="00000000" w:rsidRPr="00E13719">
                              <w:rPr>
                                <w:i w:val="1"/>
                                <w:iCs w:val="1"/>
                                <w:sz w:val="18"/>
                                <w:szCs w:val="18"/>
                              </w:rPr>
                              <w:t>Creas</w:t>
                            </w:r>
                            <w:proofErr w:type="spellEnd"/>
                            <w:r w:rsidDel="00000000" w:rsidR="00000000" w:rsidRPr="00E13719">
                              <w:rPr>
                                <w:i w:val="1"/>
                                <w:iCs w:val="1"/>
                                <w:sz w:val="18"/>
                                <w:szCs w:val="18"/>
                              </w:rPr>
                              <w:t xml:space="preserve"> e pelas entidades nacionais, que tem por objetivo discutir e propor políticas, estratégias e programas de atuação, visando à participação dos profissionais das áreas abrangidas pelo Sistema Confea/Crea no desenvolvimento nacional, propiciando maior integração com a sociedade e entidades governamentais.</w:t>
                            </w:r>
                          </w:p>
                          <w:p w:rsidR="00F02328" w:rsidDel="00000000" w:rsidP="00F02328" w:rsidRDefault="00F02328" w:rsidRPr="00F02328" w14:paraId="7A8C51BC" w14:textId="1D2DA93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Del="00000000" w:rsidR="00000000" w:rsidRPr="00000000">
                              <w:rPr>
                                <w:sz w:val="20"/>
                                <w:szCs w:val="20"/>
                              </w:rPr>
                              <w:t xml:space="preserve">Outros: </w:t>
                            </w:r>
                          </w:p>
                          <w:p w:rsidR="00F02328" w:rsidDel="00000000" w:rsidP="00000000" w:rsidRDefault="00F02328" w:rsidRPr="00000000" w14:paraId="76D1A98B" w14:textId="0590E840"/>
                        </w:txbxContent>
                      </wps:txbx>
                      <wps:bodyPr anchorCtr="0" anchor="t" bIns="45720" lIns="91440" rIns="91440" rot="0" vert="horz" wrap="square" t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259079</wp:posOffset>
                </wp:positionV>
                <wp:extent cx="6572250" cy="1415415"/>
                <wp:effectExtent b="0" l="0" r="0" t="0"/>
                <wp:wrapSquare wrapText="bothSides" distB="45720" distT="45720" distL="114300" distR="114300"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0" cy="1415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Justificativa:</w:t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253364</wp:posOffset>
                </wp:positionV>
                <wp:extent cx="6559550" cy="2787650"/>
                <wp:effectExtent b="12700" l="0" r="12700" t="0"/>
                <wp:wrapSquare wrapText="bothSides" distB="45720" distT="45720" distL="114300" distR="114300"/>
                <wp:docPr id="1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78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328" w:rsidDel="00000000" w:rsidP="00F02328" w:rsidRDefault="00F02328" w:rsidRPr="00F02328" w14:paraId="66F4C58D" w14:textId="118F18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253364</wp:posOffset>
                </wp:positionV>
                <wp:extent cx="6572250" cy="2800350"/>
                <wp:effectExtent b="0" l="0" r="0" t="0"/>
                <wp:wrapSquare wrapText="bothSides" distB="45720" distT="4572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0" cy="280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b w:val="1"/>
          <w:rtl w:val="0"/>
        </w:rPr>
        <w:t xml:space="preserve">Sugestão de mecanismos para implementação: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363854</wp:posOffset>
                </wp:positionV>
                <wp:extent cx="6559550" cy="4184650"/>
                <wp:effectExtent b="25400" l="0" r="12700" t="0"/>
                <wp:wrapSquare wrapText="bothSides" distB="45720" distT="45720" distL="114300" distR="114300"/>
                <wp:docPr id="5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18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328" w:rsidDel="00000000" w:rsidP="00F02328" w:rsidRDefault="00F02328" w:rsidRPr="00F02328" w14:paraId="42411B4B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363854</wp:posOffset>
                </wp:positionV>
                <wp:extent cx="6572250" cy="4210050"/>
                <wp:effectExtent b="0" l="0" r="0" t="0"/>
                <wp:wrapSquare wrapText="bothSides" distB="45720" distT="45720" distL="114300" distR="114300"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0" cy="421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 w:orient="portrait"/>
      <w:pgMar w:bottom="720" w:top="198" w:left="720" w:right="72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01 Digitall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rFonts w:ascii="01 Digitall" w:cs="01 Digitall" w:eastAsia="01 Digitall" w:hAnsi="01 Digital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pt-BR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